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Causes of Seasons: Mystery of the Midnight Sun—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Arctic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(AARK tik)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Arctic</w:t>
            </w:r>
            <w:r w:rsidDel="00000000" w:rsidR="00000000" w:rsidRPr="00000000">
              <w:rPr>
                <w:rtl w:val="0"/>
              </w:rPr>
              <w:t xml:space="preserve"> is the region of Earth north of 66.5</w:t>
            </w:r>
            <w:r w:rsidDel="00000000" w:rsidR="00000000" w:rsidRPr="00000000">
              <w:rPr>
                <w:rFonts w:ascii="Roboto" w:cs="Roboto" w:eastAsia="Roboto" w:hAnsi="Roboto"/>
                <w:color w:val="0a0a0a"/>
                <w:highlight w:val="white"/>
                <w:rtl w:val="0"/>
              </w:rPr>
              <w:t xml:space="preserve">° N latitude, close to the North Pole.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Solar intensity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(SO ler in TEN suh tee)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Solar intensity </w:t>
            </w:r>
            <w:r w:rsidDel="00000000" w:rsidR="00000000" w:rsidRPr="00000000">
              <w:rPr>
                <w:rtl w:val="0"/>
              </w:rPr>
              <w:t xml:space="preserve">is a measure of how much of the Sun's energy is reaching the ground. The greater the intensity, the more the ground will heat up.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